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C40F" w14:textId="77777777" w:rsidR="002B6E70" w:rsidRPr="0081396F" w:rsidRDefault="002B6E70" w:rsidP="0081396F">
      <w:pPr>
        <w:pStyle w:val="Heading11"/>
        <w:widowControl/>
        <w:suppressAutoHyphens/>
        <w:spacing w:after="0"/>
        <w:jc w:val="both"/>
        <w:outlineLvl w:val="9"/>
        <w:rPr>
          <w:rFonts w:ascii="Verdana" w:hAnsi="Verdana"/>
          <w:b/>
          <w:sz w:val="32"/>
        </w:rPr>
      </w:pPr>
      <w:r w:rsidRPr="0081396F">
        <w:rPr>
          <w:rStyle w:val="Heading10"/>
          <w:rFonts w:ascii="Verdana" w:hAnsi="Verdana"/>
          <w:b/>
          <w:sz w:val="32"/>
        </w:rPr>
        <w:t>A Cat’s Meow</w:t>
      </w:r>
    </w:p>
    <w:p w14:paraId="094670CD" w14:textId="49869F50" w:rsidR="004656A2" w:rsidRPr="0081396F" w:rsidRDefault="009E0E4B" w:rsidP="0081396F">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4656A2" w:rsidRPr="0081396F">
        <w:rPr>
          <w:rStyle w:val="Heading10"/>
          <w:rFonts w:ascii="Verdana" w:hAnsi="Verdana"/>
          <w:sz w:val="24"/>
        </w:rPr>
        <w:t>Brodsky</w:t>
      </w:r>
    </w:p>
    <w:p w14:paraId="2CE63756" w14:textId="77777777" w:rsidR="002B6E70" w:rsidRDefault="002B6E70" w:rsidP="004656A2">
      <w:pPr>
        <w:pStyle w:val="BodyText"/>
        <w:suppressAutoHyphens/>
        <w:spacing w:after="0" w:line="240" w:lineRule="auto"/>
        <w:ind w:firstLine="283"/>
        <w:jc w:val="both"/>
        <w:rPr>
          <w:rStyle w:val="BodyTextChar"/>
          <w:rFonts w:ascii="Verdana" w:hAnsi="Verdana"/>
          <w:sz w:val="20"/>
          <w:szCs w:val="20"/>
        </w:rPr>
      </w:pPr>
    </w:p>
    <w:p w14:paraId="16E5A773" w14:textId="77777777" w:rsidR="002B6E70" w:rsidRPr="00CF7AB2" w:rsidRDefault="002B6E70" w:rsidP="004656A2">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0355AC04" w14:textId="77777777" w:rsidR="002B6E70" w:rsidRPr="00CF7AB2" w:rsidRDefault="002B6E70" w:rsidP="004656A2">
      <w:pPr>
        <w:keepNext/>
        <w:suppressAutoHyphens/>
        <w:spacing w:after="0"/>
        <w:ind w:firstLine="283"/>
        <w:jc w:val="both"/>
        <w:rPr>
          <w:rFonts w:ascii="Verdana" w:hAnsi="Verdana"/>
          <w:sz w:val="20"/>
        </w:rPr>
      </w:pPr>
    </w:p>
    <w:p w14:paraId="08B4C2A3"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dearly wish I could begin this monologue from afar, or at least preface it with a bunch of disclaimers. However, this dog’s ability to learn new tricks is inferior to its tendency to forget old ones. So let me try to cut straight to the bone.</w:t>
      </w:r>
    </w:p>
    <w:p w14:paraId="199BAF00"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Many things have changed on this dog’s watch; but I believe that a study of phenomena is still valid and of interest only as long as it is being conducted from without. The view from within is inevitably distorted and of parochial conse</w:t>
      </w:r>
      <w:r w:rsidRPr="00CF7AB2">
        <w:rPr>
          <w:rStyle w:val="BodyTextChar"/>
          <w:rFonts w:ascii="Verdana" w:hAnsi="Verdana"/>
          <w:sz w:val="20"/>
        </w:rPr>
        <w:softHyphen/>
        <w:t>quence, its claims to documentary status notwithstanding. A good example is madness: the view of the physician is of greater import than that of his patient.</w:t>
      </w:r>
    </w:p>
    <w:p w14:paraId="049546EE"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Theoretically, the same should apply to “creativity”; except that the nature of this phenomenon rules out the possibility of a vantage point for studying it. Here, the very process of observation renders the observer, to put it mildly, inferior to the phenomenon he observes, whether he is po</w:t>
      </w:r>
      <w:r w:rsidRPr="00CF7AB2">
        <w:rPr>
          <w:rStyle w:val="BodyTextChar"/>
          <w:rFonts w:ascii="Verdana" w:hAnsi="Verdana"/>
          <w:sz w:val="20"/>
        </w:rPr>
        <w:softHyphen/>
        <w:t>sitioned without or within the phenomenon. In a manner of</w:t>
      </w:r>
      <w:r>
        <w:rPr>
          <w:rStyle w:val="BodyTextChar"/>
          <w:rFonts w:ascii="Verdana" w:hAnsi="Verdana"/>
          <w:sz w:val="20"/>
        </w:rPr>
        <w:t xml:space="preserve"> </w:t>
      </w:r>
      <w:r w:rsidRPr="00CF7AB2">
        <w:rPr>
          <w:rStyle w:val="BodyTextChar"/>
          <w:rFonts w:ascii="Verdana" w:hAnsi="Verdana"/>
          <w:sz w:val="20"/>
        </w:rPr>
        <w:t>speaking, the report of the physician here is as invalid as the patient’s own ravings.</w:t>
      </w:r>
    </w:p>
    <w:p w14:paraId="6DCEC737"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lesser commenting upon the greater has, of course, a certain humbling appeal, and at our end of the galaxy we are quite accustomed to this sort of procedure. I hope, there</w:t>
      </w:r>
      <w:r w:rsidRPr="00CF7AB2">
        <w:rPr>
          <w:rStyle w:val="BodyTextChar"/>
          <w:rFonts w:ascii="Verdana" w:hAnsi="Verdana"/>
          <w:sz w:val="20"/>
        </w:rPr>
        <w:softHyphen/>
        <w:t>fore, that my reluctance to objectify creativity bespeaks not a lack of humility on my part but precisely the absence of a vantage point enabling me to pronounce anything of value on the subject.</w:t>
      </w:r>
    </w:p>
    <w:p w14:paraId="30BD7002"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don’t qualify as a physician; as a patient I am too much of a basket case to be taken seriously. Besides, I detest the very term “creativity,” and some of this detestation rubs off on the phenomenon this term appears to denote. Even if I were able to shut down the voice of my senses revolting against it, my utterance on the subject would amount at best to a cat’s attempt to catch its own tail. An absorbing en</w:t>
      </w:r>
      <w:r w:rsidRPr="00CF7AB2">
        <w:rPr>
          <w:rStyle w:val="BodyTextChar"/>
          <w:rFonts w:ascii="Verdana" w:hAnsi="Verdana"/>
          <w:sz w:val="20"/>
        </w:rPr>
        <w:softHyphen/>
        <w:t>deavor, to be sure; but then perhaps I should be meowing.</w:t>
      </w:r>
    </w:p>
    <w:p w14:paraId="6E7ECD46"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Given the solipsistic nature of any human inquiry, that would be as honest a response to the notion of creativity as you can get. Seen from the outside, creativity is the object of fascination or envy; seen from within, it is an unending exercise in uncertainty and a tremendous school for inse</w:t>
      </w:r>
      <w:r w:rsidRPr="00CF7AB2">
        <w:rPr>
          <w:rStyle w:val="BodyTextChar"/>
          <w:rFonts w:ascii="Verdana" w:hAnsi="Verdana"/>
          <w:sz w:val="20"/>
        </w:rPr>
        <w:softHyphen/>
        <w:t>curity. In either case, a meow or some other incoherent sound is the most adequate response whenever the notion of creativity is invoked.</w:t>
      </w:r>
    </w:p>
    <w:p w14:paraId="1195DA63"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Let me, therefore, get rid of the panting or bated breath that accompanies this term, which is to say, let me get rid of the term altogether. Webster’s Collegiate Dictionary de</w:t>
      </w:r>
      <w:r w:rsidRPr="00CF7AB2">
        <w:rPr>
          <w:rStyle w:val="BodyTextChar"/>
          <w:rFonts w:ascii="Verdana" w:hAnsi="Verdana"/>
          <w:sz w:val="20"/>
        </w:rPr>
        <w:softHyphen/>
        <w:t>fines creativity as the ability to create, so let me stick to this definition. This way, perhaps, at least one of us will know what he is talking about, although not entirely.</w:t>
      </w:r>
    </w:p>
    <w:p w14:paraId="3CE7C76E"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trouble begins with “create,” which is, I believe, an exalted version of the verb “to make,” and the same good old Webster’s offers us “to bring into existence.” The exal</w:t>
      </w:r>
      <w:r w:rsidRPr="00CF7AB2">
        <w:rPr>
          <w:rStyle w:val="BodyTextChar"/>
          <w:rFonts w:ascii="Verdana" w:hAnsi="Verdana"/>
          <w:sz w:val="20"/>
        </w:rPr>
        <w:softHyphen/>
        <w:t>tation here has to do presumably with our ability to distin</w:t>
      </w:r>
      <w:r w:rsidRPr="00CF7AB2">
        <w:rPr>
          <w:rStyle w:val="BodyTextChar"/>
          <w:rFonts w:ascii="Verdana" w:hAnsi="Verdana"/>
          <w:sz w:val="20"/>
        </w:rPr>
        <w:softHyphen/>
        <w:t xml:space="preserve">guish between familiar and unprecedented results of one’s making. The familiar, thus, is </w:t>
      </w:r>
      <w:r w:rsidRPr="00CF7AB2">
        <w:rPr>
          <w:rStyle w:val="BodyTextChar"/>
          <w:rFonts w:ascii="Verdana" w:hAnsi="Verdana"/>
          <w:i/>
          <w:iCs/>
          <w:sz w:val="20"/>
        </w:rPr>
        <w:t>made;</w:t>
      </w:r>
      <w:r w:rsidRPr="00CF7AB2">
        <w:rPr>
          <w:rStyle w:val="BodyTextChar"/>
          <w:rFonts w:ascii="Verdana" w:hAnsi="Verdana"/>
          <w:sz w:val="20"/>
        </w:rPr>
        <w:t xml:space="preserve"> the unfamiliar, or un</w:t>
      </w:r>
      <w:r w:rsidRPr="00CF7AB2">
        <w:rPr>
          <w:rStyle w:val="BodyTextChar"/>
          <w:rFonts w:ascii="Verdana" w:hAnsi="Verdana"/>
          <w:sz w:val="20"/>
        </w:rPr>
        <w:softHyphen/>
        <w:t xml:space="preserve">precedented, is </w:t>
      </w:r>
      <w:r w:rsidRPr="00CF7AB2">
        <w:rPr>
          <w:rStyle w:val="BodyTextChar"/>
          <w:rFonts w:ascii="Verdana" w:hAnsi="Verdana"/>
          <w:i/>
          <w:iCs/>
          <w:sz w:val="20"/>
        </w:rPr>
        <w:t>created.</w:t>
      </w:r>
    </w:p>
    <w:p w14:paraId="22DA9B08"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no honest craftsman or maker knows in the process of working whether he is making or creating. He may be overtaken with this or that incoherent emotion at a certain stage of the process, he may even have an inkling that he is manufacturing something qualitatively new or unique, but the first, the second, and the last reality for him is the work itself, the very process of working. The process takes prec</w:t>
      </w:r>
      <w:r w:rsidRPr="00CF7AB2">
        <w:rPr>
          <w:rStyle w:val="BodyTextChar"/>
          <w:rFonts w:ascii="Verdana" w:hAnsi="Verdana"/>
          <w:sz w:val="20"/>
        </w:rPr>
        <w:softHyphen/>
        <w:t>edence over its result, if only because the latter is impossible without the former.</w:t>
      </w:r>
    </w:p>
    <w:p w14:paraId="377A541A"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The emergence of something qualitatively new is a mat</w:t>
      </w:r>
      <w:r w:rsidRPr="00CF7AB2">
        <w:rPr>
          <w:rStyle w:val="BodyTextChar"/>
          <w:rFonts w:ascii="Verdana" w:hAnsi="Verdana"/>
          <w:sz w:val="20"/>
        </w:rPr>
        <w:softHyphen/>
        <w:t>ter of chance. Hence there is no visual distinction between a maker and a beholder, between an artist and his public. At a reception, the former may stand out in the crowd at best by virtue of his longer hair or sartorial extravagance, but nowadays the reverse may be true as well. In any case, at the completion of the work, a maker may mingle with beholders and even assume their perspective on his work and employ their vocabulary. It is unlikely, however, that upon returning to his study, studio, or, for that matter, lab, he would attempt to rechristen his tools.</w:t>
      </w:r>
    </w:p>
    <w:p w14:paraId="6AF94D3F"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says “I make” rather than “I create.” This choice of verb reflects not only humility but the distinction between the guild and the market, for the distinction between making and creating can be made only retroactively, by the beholder. Beholders are essentially consumers, and that’s why a sculptor seldom buys another sculptor’s works. Any discourse on creativity, no matter how analytical it may turn out to be, is therefore a market discourse. One artist’s recognition of another’s genius is essentially a recognition of the power of chance and perhaps of the</w:t>
      </w:r>
      <w:r>
        <w:rPr>
          <w:rStyle w:val="BodyTextChar"/>
          <w:rFonts w:ascii="Verdana" w:hAnsi="Verdana"/>
          <w:sz w:val="20"/>
        </w:rPr>
        <w:t xml:space="preserve"> </w:t>
      </w:r>
      <w:r w:rsidRPr="00CF7AB2">
        <w:rPr>
          <w:rStyle w:val="BodyTextChar"/>
          <w:rFonts w:ascii="Verdana" w:hAnsi="Verdana"/>
          <w:sz w:val="20"/>
        </w:rPr>
        <w:t>other’s industry in producing occasions for chance to invade.</w:t>
      </w:r>
    </w:p>
    <w:p w14:paraId="791567FD"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 hope, takes care of the “make” part of Webster’s definition. Let’s address the “ability” part. The notion of abil</w:t>
      </w:r>
      <w:r w:rsidRPr="00CF7AB2">
        <w:rPr>
          <w:rStyle w:val="BodyTextChar"/>
          <w:rFonts w:ascii="Verdana" w:hAnsi="Verdana"/>
          <w:sz w:val="20"/>
        </w:rPr>
        <w:softHyphen/>
        <w:t>ity comes from experience. Theoretically, the greater one’s experience, the more secure one may feel in one’s ability. In reality (in art and, I would think, science), experience and the accompanying expertise are the maker’s worst enemies.</w:t>
      </w:r>
    </w:p>
    <w:p w14:paraId="454349B9"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more successful you’ve been, the more uncertain you are, when embarking on a new project, of the result. Say, the greater the masterpiece you just produced, the smaller the likelihood of your repeating the feat tomorrow. In other words: the more questionable your ability becomes. The very notion of ability acquires in your mind a permanent question mark, and gradually one begins to regard one’s work as a nonstop effort to erase that mark. This is especially true among those engaged in literature, particularly in poetry, which, unlike other arts, is bound to make detectable sense.</w:t>
      </w:r>
    </w:p>
    <w:p w14:paraId="41701EF1"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even adorned with an exclamation mark, ability is not guaranteed to spawn masterpieces each time it is applied. We all know plenty of uniquely endowed artists and scien</w:t>
      </w:r>
      <w:r w:rsidRPr="00CF7AB2">
        <w:rPr>
          <w:rStyle w:val="BodyTextChar"/>
          <w:rFonts w:ascii="Verdana" w:hAnsi="Verdana"/>
          <w:sz w:val="20"/>
        </w:rPr>
        <w:softHyphen/>
        <w:t>tists who produce little of consequence. Dry spells, writer’s blocks, and fallow stretches are the companions of practically every known genius, all lamenting about them bitterly, as do much lesser lights. Often a gallery signs up an artist, or an institution a scientist, only to learn how slim the pickings may get.</w:t>
      </w:r>
    </w:p>
    <w:p w14:paraId="055FCA23"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other words, ability is not reducible either to skill or to an individual’s energy, much less the congeniality of one’s surroundings, one’s financial predicament, or one’s milieu. Had it been otherwise, we would have had by now a far greater volume of masterpieces on our hands than is the case. In short, the ratio of those engaged throughout just this century in art and science to the appreciable results is such that one is tempted to equate ability with chance.</w:t>
      </w:r>
    </w:p>
    <w:p w14:paraId="46DA583D"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it looks as if chance inhabits both parts of Web</w:t>
      </w:r>
      <w:r w:rsidRPr="00CF7AB2">
        <w:rPr>
          <w:rStyle w:val="BodyTextChar"/>
          <w:rFonts w:ascii="Verdana" w:hAnsi="Verdana"/>
          <w:sz w:val="20"/>
        </w:rPr>
        <w:softHyphen/>
        <w:t>ster’s definition of creativity rather cozily. It is so much so that it occurs to me that perhaps the term “creativity” de</w:t>
      </w:r>
      <w:r w:rsidRPr="00CF7AB2">
        <w:rPr>
          <w:rStyle w:val="BodyTextChar"/>
          <w:rFonts w:ascii="Verdana" w:hAnsi="Verdana"/>
          <w:sz w:val="20"/>
        </w:rPr>
        <w:softHyphen/>
        <w:t>notes not so much an aspect of human agency as the property of the material to which this agency now and then is applied; that perhaps the ugliness of the term is, after all, justified, since it bespeaks the pliable or malleable aspects of inanimate matter. Perhaps the One who dealt with that matter first is not called the Creator for nothing. Hence, creativity.</w:t>
      </w:r>
    </w:p>
    <w:p w14:paraId="4177E67D"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Considering Webster’s definition, a qualifier is perhaps in order. Denoting a certain unidentified resistance, “the ability to make” perhaps should be accompanied by a so</w:t>
      </w:r>
      <w:r w:rsidRPr="00CF7AB2">
        <w:rPr>
          <w:rStyle w:val="BodyTextChar"/>
          <w:rFonts w:ascii="Verdana" w:hAnsi="Verdana"/>
          <w:sz w:val="20"/>
        </w:rPr>
        <w:softHyphen/>
        <w:t xml:space="preserve">bering “war on chance.” A good question is, of course, what comes first—the material or its maker? For all our professed humility, at our end of the galaxy the </w:t>
      </w:r>
      <w:r w:rsidRPr="00CF7AB2">
        <w:rPr>
          <w:rStyle w:val="BodyTextChar"/>
          <w:rFonts w:ascii="Verdana" w:hAnsi="Verdana"/>
          <w:sz w:val="20"/>
        </w:rPr>
        <w:lastRenderedPageBreak/>
        <w:t>answer is obvious and resounds with hubris. The other—and a much better question—is, whose chance are we talking about here, the maker’s or the material’s?</w:t>
      </w:r>
    </w:p>
    <w:p w14:paraId="2FD22A72"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Neither hubris nor humility will be of much help here. Perhaps in trying to answer this question, we have to jettison the notion of virtue altogether. But then we always have been tempted to do just that. So let’s seize this opportunity: not for the sake of scientific inquiry so much as for Webster’s reputation.</w:t>
      </w:r>
    </w:p>
    <w:p w14:paraId="2CB31382"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I am afraid we need a footnote.</w:t>
      </w:r>
    </w:p>
    <w:p w14:paraId="6D002FA0" w14:textId="77777777" w:rsidR="002B6E70" w:rsidRPr="00CF7AB2" w:rsidRDefault="002B6E70" w:rsidP="004656A2">
      <w:pPr>
        <w:suppressAutoHyphens/>
        <w:spacing w:after="0"/>
        <w:ind w:firstLine="283"/>
        <w:jc w:val="both"/>
        <w:rPr>
          <w:rFonts w:ascii="Verdana" w:hAnsi="Verdana"/>
          <w:sz w:val="20"/>
        </w:rPr>
      </w:pPr>
    </w:p>
    <w:p w14:paraId="3B2FFF51" w14:textId="77777777" w:rsidR="002B6E70" w:rsidRDefault="002B6E70" w:rsidP="004656A2">
      <w:pPr>
        <w:pStyle w:val="BodyText"/>
        <w:suppressAutoHyphens/>
        <w:spacing w:after="0" w:line="240" w:lineRule="auto"/>
        <w:ind w:firstLine="283"/>
        <w:jc w:val="both"/>
        <w:rPr>
          <w:rStyle w:val="BodyTextChar"/>
          <w:rFonts w:ascii="Verdana" w:hAnsi="Verdana"/>
          <w:sz w:val="20"/>
          <w:szCs w:val="20"/>
        </w:rPr>
      </w:pPr>
    </w:p>
    <w:p w14:paraId="3B62995F" w14:textId="77777777" w:rsidR="002B6E70" w:rsidRPr="00CF7AB2" w:rsidRDefault="002B6E70" w:rsidP="004656A2">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50A2AE46" w14:textId="77777777" w:rsidR="002B6E70" w:rsidRPr="00CF7AB2" w:rsidRDefault="002B6E70" w:rsidP="004656A2">
      <w:pPr>
        <w:keepNext/>
        <w:suppressAutoHyphens/>
        <w:spacing w:after="0"/>
        <w:ind w:firstLine="283"/>
        <w:jc w:val="both"/>
        <w:rPr>
          <w:rFonts w:ascii="Verdana" w:hAnsi="Verdana"/>
          <w:sz w:val="20"/>
        </w:rPr>
      </w:pPr>
    </w:p>
    <w:p w14:paraId="0C048854"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Because human beings are finite, their system of causality is linear, which is to say, self-referential. The same goes for their notion of chance, since chance is not cause-free; it is but a moment of interference by another system of causality, however aberrant its pattern, in our own. The very existence of the term, not to mention a variety of epithets accompa</w:t>
      </w:r>
      <w:r w:rsidRPr="00CF7AB2">
        <w:rPr>
          <w:rStyle w:val="BodyTextChar"/>
          <w:rFonts w:ascii="Verdana" w:hAnsi="Verdana"/>
          <w:sz w:val="20"/>
        </w:rPr>
        <w:softHyphen/>
        <w:t>nying it (for instance, “blind”), shows that our concepts of order and chance are both essentially anthropomorphic.</w:t>
      </w:r>
    </w:p>
    <w:p w14:paraId="24EEAA47"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Had the area of human inquiry been limited to the animal kingdom, that would be fine. However, it’s manifestly not so; it’s much larger and, on top of that, a human being insists on knowing the truth. The notion of truth, in its own right, is also anthropomorphic and presupposes, on the part of the inquiry’s subject—i.e., the world—a withholding of the story, if not outright deception.</w:t>
      </w:r>
    </w:p>
    <w:p w14:paraId="73071C43"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Hence a variety of scientific disciplines probing the uni</w:t>
      </w:r>
      <w:r w:rsidRPr="00CF7AB2">
        <w:rPr>
          <w:rStyle w:val="BodyTextChar"/>
          <w:rFonts w:ascii="Verdana" w:hAnsi="Verdana"/>
          <w:sz w:val="20"/>
        </w:rPr>
        <w:softHyphen/>
        <w:t>verse in the most minute manner, the intensity of which— especially of their language—could be likened to torture. In any case, if the truth about things has not been attained thus far, we should put this down to the world’s extraordinary resilience rather than to a lack of effort. The other expla</w:t>
      </w:r>
      <w:r w:rsidRPr="00CF7AB2">
        <w:rPr>
          <w:rStyle w:val="BodyTextChar"/>
          <w:rFonts w:ascii="Verdana" w:hAnsi="Verdana"/>
          <w:sz w:val="20"/>
        </w:rPr>
        <w:softHyphen/>
        <w:t>nation, of course, is truth’s absence; an absence that we don’t accept because of its drastic consequences for our ethics.</w:t>
      </w:r>
    </w:p>
    <w:p w14:paraId="72D43890"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Ethics—or, to put it less grandly but perhaps more pointedly, pure and simple eschatology—as the vehicle of science? Perhaps; at any rate, what human inquiry indeed boils down to is the animate interrogating the inanimate. Small wonder that the results are inconclusive; smaller won</w:t>
      </w:r>
      <w:r w:rsidRPr="00CF7AB2">
        <w:rPr>
          <w:rStyle w:val="BodyTextChar"/>
          <w:rFonts w:ascii="Verdana" w:hAnsi="Verdana"/>
          <w:sz w:val="20"/>
        </w:rPr>
        <w:softHyphen/>
        <w:t>der still that the methods and the language we employ in the process more and more resemble the matter at hand itself.</w:t>
      </w:r>
    </w:p>
    <w:p w14:paraId="528AE0D3"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Ideally, perhaps, the animate and the inanimate should swap places. That, of course, would be to the liking of the dispassionate scientist, who places such a premium on ob</w:t>
      </w:r>
      <w:r w:rsidRPr="00CF7AB2">
        <w:rPr>
          <w:rStyle w:val="BodyTextChar"/>
          <w:rFonts w:ascii="Verdana" w:hAnsi="Verdana"/>
          <w:sz w:val="20"/>
        </w:rPr>
        <w:softHyphen/>
        <w:t>jectivity. Alas, this is not likely to happen, as the inanimate doesn’t seem to show any interest in the animate: the world is not interested in its humans. Unless, of course, we ascribe to the world divine provenance, which, for several millennia now, we’ve failed to demonstrate.</w:t>
      </w:r>
    </w:p>
    <w:p w14:paraId="34DFE9E0"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the truth about things indeed exists, then, given our status as the world’s latecomers, that truth is bound to be</w:t>
      </w:r>
      <w:r>
        <w:rPr>
          <w:rStyle w:val="BodyTextChar"/>
          <w:rFonts w:ascii="Verdana" w:hAnsi="Verdana"/>
          <w:sz w:val="20"/>
        </w:rPr>
        <w:t xml:space="preserve"> </w:t>
      </w:r>
      <w:r w:rsidRPr="00CF7AB2">
        <w:rPr>
          <w:rStyle w:val="BodyTextChar"/>
          <w:rFonts w:ascii="Verdana" w:hAnsi="Verdana"/>
          <w:sz w:val="20"/>
        </w:rPr>
        <w:t>nonhuman. It is bound to cancel out our notions of causality, aberrant or not, as well as those of chance. The same applies to our surmises as to the world’s provenance, be it divine, molecular, or both: the viability of a concept depends on the viability of its carriers.</w:t>
      </w:r>
    </w:p>
    <w:p w14:paraId="0D1C0D72"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Which is to say that our inquiry is essentially a highly solipsistic endeavor. For the only opportunity available for the animate to swap places with the inanimate is the former’s physical end: when man joins, as it were, matter.</w:t>
      </w:r>
    </w:p>
    <w:p w14:paraId="083C8471"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one can stretch matters somewhat by imagining that it is not the inanimate which is under the animate’s investigation but the other way around. This rings a certain metaphysical bell, and not so faintly. Of course, it’s difficult to build either science or a religion on such a foundation. Still, the possibility shouldn’t be ruled out, if only because this option allows our notion of causality to survive intact. Not to mention that of chance.</w:t>
      </w:r>
    </w:p>
    <w:p w14:paraId="14B1951B"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What sort of interest could the infinite take in the finite? To see how the latter might modify its ethics? But ethics as such contains its opposite. To tax human eschatology further? But the results will be quite predictable. Why would the infinite keep an eye on the finite?</w:t>
      </w:r>
    </w:p>
    <w:p w14:paraId="7BB1ED2B"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Perhaps out of the infinite’s nostalgia for its own finite past, if it ever had one? In order to see how the poor old finite is still faring against overwhelming odds? How close the finite may come to comprehending, with its microscopes, telescopes, and all, with its observatories’ and churches’ domes, those odds’ enormity?</w:t>
      </w:r>
    </w:p>
    <w:p w14:paraId="73E48BF2"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what would the infinite’s response be, should the finite prove itself capable of revealing the infinite’s secrets? What course of action might the infinite take, given that its repertoire is limited to the choice between being punitive or benevolent? And since benevolence is something we are less familiar with, what form might it assume?</w:t>
      </w:r>
    </w:p>
    <w:p w14:paraId="21D9B089"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it is, let’s say, some version of life eternal, a paradise, a utopia where nothing ever ends, what should be done, for instance, about those who never make it there? And if it were possible for us to resurrect them, what would happen to our notion of causality, not to mention chance? Or maybe the opportunity to resurrect them, an opportunity for the living to meet the dead, is what chance is all about? And isn’t the finite’s chance to become infinite synonymous with the animate becoming inanimate? Is that a promotion?</w:t>
      </w:r>
    </w:p>
    <w:p w14:paraId="375647B8"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Or perhaps the inanimate appears to be so only to the eye of the finite? And if there is indeed no difference, save a few secrets thus far not revealed, where, once they get revealed, are we all to dwell? Would we be able to shift from the infinite to the finite and back, if we had a choice? What would the means of transportation between the two be? An injection, perhaps? And once we lose the distinction between the finite and the infinite, would we care where we are? Wouldn’t that be, to say the least, the end of science, not to mention religion?</w:t>
      </w:r>
    </w:p>
    <w:p w14:paraId="040A306B"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Have you been influenced by Wittgenstein? asks the reader.</w:t>
      </w:r>
    </w:p>
    <w:p w14:paraId="15F032CB"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Acknowledging the solipsistic nature of human inquiry shouldn’t, of course, result in prohibitive legislation limiting that inquiry’s scope. It won’t work: no law based on the recognition of human shortcomings does. Furthermore, ev</w:t>
      </w:r>
      <w:r w:rsidRPr="00CF7AB2">
        <w:rPr>
          <w:rStyle w:val="BodyTextChar"/>
          <w:rFonts w:ascii="Verdana" w:hAnsi="Verdana"/>
          <w:sz w:val="20"/>
        </w:rPr>
        <w:softHyphen/>
        <w:t>ery legislator, especially an unacknowledged one, should be, in turn, aware all the time of the equally solipsistic nature of the very law he is trying to push.</w:t>
      </w:r>
    </w:p>
    <w:p w14:paraId="3AD958E2"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it would be both prudent and fruitful to admit that all our conclusions about the world outside, including those about its provenance, are but reflections, or better yet ar</w:t>
      </w:r>
      <w:r w:rsidRPr="00CF7AB2">
        <w:rPr>
          <w:rStyle w:val="BodyTextChar"/>
          <w:rFonts w:ascii="Verdana" w:hAnsi="Verdana"/>
          <w:sz w:val="20"/>
        </w:rPr>
        <w:softHyphen/>
        <w:t>ticulations, of our physical selves.</w:t>
      </w:r>
    </w:p>
    <w:p w14:paraId="3F33A65A"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what constitutes a discovery or, more broadly, truth</w:t>
      </w:r>
      <w:r>
        <w:rPr>
          <w:rStyle w:val="BodyTextChar"/>
          <w:rFonts w:ascii="Verdana" w:hAnsi="Verdana"/>
          <w:sz w:val="20"/>
        </w:rPr>
        <w:t xml:space="preserve"> </w:t>
      </w:r>
      <w:r w:rsidRPr="00CF7AB2">
        <w:rPr>
          <w:rStyle w:val="BodyTextChar"/>
          <w:rFonts w:ascii="Verdana" w:hAnsi="Verdana"/>
          <w:sz w:val="20"/>
        </w:rPr>
        <w:t>as such, is our recognition of it. Presented with an obser</w:t>
      </w:r>
      <w:r w:rsidRPr="00CF7AB2">
        <w:rPr>
          <w:rStyle w:val="BodyTextChar"/>
          <w:rFonts w:ascii="Verdana" w:hAnsi="Verdana"/>
          <w:sz w:val="20"/>
        </w:rPr>
        <w:softHyphen/>
        <w:t>vation or a conclusion backed by evidence, we exclaim, “Yes, that’s true!” In other words, we recognize something that has been offered to our scrutiny as our own. Recognition, after all, is an identification of the reality within with the reality without: an admission of the latter into the former. However, in order to be admitted into the inner sanctum (say, the mind), the guest should possess at least some struc</w:t>
      </w:r>
      <w:r w:rsidRPr="00CF7AB2">
        <w:rPr>
          <w:rStyle w:val="BodyTextChar"/>
          <w:rFonts w:ascii="Verdana" w:hAnsi="Verdana"/>
          <w:sz w:val="20"/>
        </w:rPr>
        <w:softHyphen/>
        <w:t>tural characteristics similar to those of the host.</w:t>
      </w:r>
    </w:p>
    <w:p w14:paraId="3B8192C7"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of course, is what explains the considerable success of all manner of microcosmic research, with all those cells and particles echoing nicely our own self-esteem. Yet, hu</w:t>
      </w:r>
      <w:r w:rsidRPr="00CF7AB2">
        <w:rPr>
          <w:rStyle w:val="BodyTextChar"/>
          <w:rFonts w:ascii="Verdana" w:hAnsi="Verdana"/>
          <w:sz w:val="20"/>
        </w:rPr>
        <w:softHyphen/>
        <w:t>mility aside, when a grateful guest eventually reciprocates by inviting his gracious host over to his place, the latter often finds himself quite comfortable in those theoretically strange quarters and occasionally even benefits from a sojourn in the village of Applied Sciences, emerging from it now with a jar of penicillin, now with a tankful of gravity-spurning fuel.</w:t>
      </w:r>
    </w:p>
    <w:p w14:paraId="74E8AC17"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other words, in order to recognize anything, you’ve got to have something to recognize it with, something that will do the recognizing. The faculty that we believe does the recognizing job on our behalf is our brain. Yet the brain is not an </w:t>
      </w:r>
      <w:r w:rsidRPr="00CF7AB2">
        <w:rPr>
          <w:rStyle w:val="BodyTextChar"/>
          <w:rFonts w:ascii="Verdana" w:hAnsi="Verdana"/>
          <w:sz w:val="20"/>
        </w:rPr>
        <w:lastRenderedPageBreak/>
        <w:t>autonomous entity: it functions only in concert with the rest of our physiological system. What’s more, we are quite cognizant of our brain’s ability not only to absorb con</w:t>
      </w:r>
      <w:r w:rsidRPr="00CF7AB2">
        <w:rPr>
          <w:rStyle w:val="BodyTextChar"/>
          <w:rFonts w:ascii="Verdana" w:hAnsi="Verdana"/>
          <w:sz w:val="20"/>
        </w:rPr>
        <w:softHyphen/>
        <w:t>cepts as regards the outside world but to generate them as well; we are also cognizant of that ability’s relative depen</w:t>
      </w:r>
      <w:r w:rsidRPr="00CF7AB2">
        <w:rPr>
          <w:rStyle w:val="BodyTextChar"/>
          <w:rFonts w:ascii="Verdana" w:hAnsi="Verdana"/>
          <w:sz w:val="20"/>
        </w:rPr>
        <w:softHyphen/>
        <w:t>dence on, say, our motor or metabolic functions.</w:t>
      </w:r>
    </w:p>
    <w:p w14:paraId="1D1ED95B"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enough to suspect a certain parity between the inquirer and the subject of the inquiry, and suspicion is often the mother of truth. That, at any rate, is enough to suggest a perceptible resemblance between what’s getting discov</w:t>
      </w:r>
      <w:r w:rsidRPr="00CF7AB2">
        <w:rPr>
          <w:rStyle w:val="BodyTextChar"/>
          <w:rFonts w:ascii="Verdana" w:hAnsi="Verdana"/>
          <w:sz w:val="20"/>
        </w:rPr>
        <w:softHyphen/>
        <w:t>ered and the discoverer’s own cellular makeup. Now that,</w:t>
      </w:r>
      <w:r>
        <w:rPr>
          <w:rStyle w:val="BodyTextChar"/>
          <w:rFonts w:ascii="Verdana" w:hAnsi="Verdana"/>
          <w:sz w:val="20"/>
        </w:rPr>
        <w:t xml:space="preserve"> </w:t>
      </w:r>
      <w:r w:rsidRPr="00CF7AB2">
        <w:rPr>
          <w:rStyle w:val="BodyTextChar"/>
          <w:rFonts w:ascii="Verdana" w:hAnsi="Verdana"/>
          <w:sz w:val="20"/>
        </w:rPr>
        <w:t>of course, stands to reason, if only because we are very much of this world—at least according to the admission of our own evolutionary theory.</w:t>
      </w:r>
    </w:p>
    <w:p w14:paraId="43853A38"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Small wonder, then, that we are capable of discovering or discerning certain truths about it. This wonder is so small that it occurs to one that “discovery” is quite possibly a misnomer, and so are “recognition,” “admission,” “identi</w:t>
      </w:r>
      <w:r w:rsidRPr="00CF7AB2">
        <w:rPr>
          <w:rStyle w:val="BodyTextChar"/>
          <w:rFonts w:ascii="Verdana" w:hAnsi="Verdana"/>
          <w:sz w:val="20"/>
        </w:rPr>
        <w:softHyphen/>
        <w:t>fication,” etc.</w:t>
      </w:r>
    </w:p>
    <w:p w14:paraId="69175F17"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occurs to one that what we habitually bill as our discoveries are but the projections of what we contain within upon the outside. That the physical reality of the world/ nature/you-name-it is but a screen—or, if you like, a wall— with our own structural imperatives and irregularities writ large or small upon it. That the outside is a blackboard or a sounding board for our ideas and inklings about our own largely incomprehensible tissue.</w:t>
      </w:r>
    </w:p>
    <w:p w14:paraId="40A7F303"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 in the final analysis, a human being doesn’t so much obtain knowledge from the outside as secrete it from within. That human inquiry is a closed-circuit system, where no Supreme Being or alternative system of intelligence can break in. Were they to, they wouldn’t be welcome, if only because He, or it, would become one of us, and we have had enough of our kind.</w:t>
      </w:r>
    </w:p>
    <w:p w14:paraId="06228506"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They had better stay in the realm of probability, in the province of chance. Besides, as one of them said, “My king</w:t>
      </w:r>
      <w:r w:rsidRPr="00CF7AB2">
        <w:rPr>
          <w:rStyle w:val="BodyTextChar"/>
          <w:rFonts w:ascii="Verdana" w:hAnsi="Verdana"/>
          <w:sz w:val="20"/>
        </w:rPr>
        <w:softHyphen/>
        <w:t>dom is not of this world.” No matter how scandalous prob</w:t>
      </w:r>
      <w:r w:rsidRPr="00CF7AB2">
        <w:rPr>
          <w:rStyle w:val="BodyTextChar"/>
          <w:rFonts w:ascii="Verdana" w:hAnsi="Verdana"/>
          <w:sz w:val="20"/>
        </w:rPr>
        <w:softHyphen/>
        <w:t>ability’s reputation is, it won’t thrust either one of them into our midst, because probability is not suicidal. Inhabiting our minds for want of a better seat, it surely won’t try to destroy its only habitat. And if infinity indeed has us for its audience, probability will certainly try its best to present infinity as a moral perspective, especially with a view to our eventually entering it.</w:t>
      </w:r>
    </w:p>
    <w:p w14:paraId="7555DCDE"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that end, it may even send in a messiah, since left</w:t>
      </w:r>
      <w:r>
        <w:rPr>
          <w:rStyle w:val="BodyTextChar"/>
          <w:rFonts w:ascii="Verdana" w:hAnsi="Verdana"/>
          <w:sz w:val="20"/>
        </w:rPr>
        <w:t xml:space="preserve"> </w:t>
      </w:r>
      <w:r w:rsidRPr="00CF7AB2">
        <w:rPr>
          <w:rStyle w:val="BodyTextChar"/>
          <w:rFonts w:ascii="Verdana" w:hAnsi="Verdana"/>
          <w:sz w:val="20"/>
        </w:rPr>
        <w:t>to our own devices we have a pretty rough time with the ethics of even our manifestly limited existence. As chance might have it, this messiah may assume any guise, and not necessarily the guise of human likeness. He may, for in</w:t>
      </w:r>
      <w:r w:rsidRPr="00CF7AB2">
        <w:rPr>
          <w:rStyle w:val="BodyTextChar"/>
          <w:rFonts w:ascii="Verdana" w:hAnsi="Verdana"/>
          <w:sz w:val="20"/>
        </w:rPr>
        <w:softHyphen/>
        <w:t>stance, appear in the form of some scientific idea, in the shape of some microbiological breakthrough predicating in</w:t>
      </w:r>
      <w:r w:rsidRPr="00CF7AB2">
        <w:rPr>
          <w:rStyle w:val="BodyTextChar"/>
          <w:rFonts w:ascii="Verdana" w:hAnsi="Verdana"/>
          <w:sz w:val="20"/>
        </w:rPr>
        <w:softHyphen/>
        <w:t>dividual salvation on a universal chain reaction that would require safety for all in order to achieve eternity for one, and vice versa.</w:t>
      </w:r>
    </w:p>
    <w:p w14:paraId="7A07187F"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Stranger things have happened. In any case, whatever it is that makes life safer or gives it hope of extension should be regarded as being of supernatural origin, because nature is neither friendly nor hope-inspiring. On the other hand, between science and creeds, one is perhaps better off with science, because creeds have proven too divisive.</w:t>
      </w:r>
    </w:p>
    <w:p w14:paraId="7D43B70B"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All I am trying to suggest is that, chances are, a new messiah, should he really emerge, is likely to know a bit more about nuclear physics or microbiology—and about vi</w:t>
      </w:r>
      <w:r w:rsidRPr="00CF7AB2">
        <w:rPr>
          <w:rStyle w:val="BodyTextChar"/>
          <w:rFonts w:ascii="Verdana" w:hAnsi="Verdana"/>
          <w:sz w:val="20"/>
        </w:rPr>
        <w:softHyphen/>
        <w:t>rology in particular—than we do today. That knowledge, of course, is bound to be of greater use for us here than in the life everlasting, but for the moment, we may still settle for less.</w:t>
      </w:r>
    </w:p>
    <w:p w14:paraId="29D22B64"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Actually, this could be a good test for probability, for chance in particular, since the linear system of causality takes us straight into extinction. Let’s see whether chance is in</w:t>
      </w:r>
      <w:r w:rsidRPr="00CF7AB2">
        <w:rPr>
          <w:rStyle w:val="BodyTextChar"/>
          <w:rFonts w:ascii="Verdana" w:hAnsi="Verdana"/>
          <w:sz w:val="20"/>
        </w:rPr>
        <w:softHyphen/>
        <w:t>deed an independent notion. Let’s see whether it is some</w:t>
      </w:r>
      <w:r w:rsidRPr="00CF7AB2">
        <w:rPr>
          <w:rStyle w:val="BodyTextChar"/>
          <w:rFonts w:ascii="Verdana" w:hAnsi="Verdana"/>
          <w:sz w:val="20"/>
        </w:rPr>
        <w:softHyphen/>
        <w:t xml:space="preserve">thing more than just bumping into a movie star in a suburban bar or winning the lottery. Of course, </w:t>
      </w:r>
      <w:r w:rsidRPr="00CF7AB2">
        <w:rPr>
          <w:rStyle w:val="BodyTextChar"/>
          <w:rFonts w:ascii="Verdana" w:hAnsi="Verdana"/>
          <w:sz w:val="20"/>
        </w:rPr>
        <w:lastRenderedPageBreak/>
        <w:t>this depends on how much one wins: a big win may come close to personal salvation.</w:t>
      </w:r>
    </w:p>
    <w:p w14:paraId="7ED761AF"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have you been influenced by Wittgenstein, per</w:t>
      </w:r>
      <w:r w:rsidRPr="00CF7AB2">
        <w:rPr>
          <w:rStyle w:val="BodyTextChar"/>
          <w:rFonts w:ascii="Verdana" w:hAnsi="Verdana"/>
          <w:sz w:val="20"/>
        </w:rPr>
        <w:softHyphen/>
        <w:t>severes the reader.</w:t>
      </w:r>
    </w:p>
    <w:p w14:paraId="27CB65EB"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 not by Wittgenstein, I reply. Just by Frankenstein. End of footnote.</w:t>
      </w:r>
    </w:p>
    <w:p w14:paraId="4111BF37" w14:textId="77777777" w:rsidR="002B6E70" w:rsidRPr="00CF7AB2" w:rsidRDefault="002B6E70" w:rsidP="004656A2">
      <w:pPr>
        <w:suppressAutoHyphens/>
        <w:spacing w:after="0"/>
        <w:ind w:firstLine="283"/>
        <w:jc w:val="both"/>
        <w:rPr>
          <w:rFonts w:ascii="Verdana" w:hAnsi="Verdana"/>
          <w:sz w:val="20"/>
        </w:rPr>
      </w:pPr>
    </w:p>
    <w:p w14:paraId="60E16876" w14:textId="77777777" w:rsidR="002B6E70" w:rsidRDefault="002B6E70" w:rsidP="004656A2">
      <w:pPr>
        <w:pStyle w:val="Heading21"/>
        <w:keepNext/>
        <w:widowControl/>
        <w:suppressAutoHyphens/>
        <w:spacing w:after="0"/>
        <w:jc w:val="both"/>
        <w:outlineLvl w:val="9"/>
        <w:rPr>
          <w:rStyle w:val="Heading20"/>
          <w:rFonts w:ascii="Verdana" w:eastAsiaTheme="majorEastAsia" w:hAnsi="Verdana"/>
          <w:sz w:val="20"/>
        </w:rPr>
      </w:pPr>
    </w:p>
    <w:p w14:paraId="42715BA5" w14:textId="77777777" w:rsidR="002B6E70" w:rsidRDefault="002B6E70" w:rsidP="004656A2">
      <w:pPr>
        <w:keepNext/>
        <w:suppressAutoHyphens/>
        <w:spacing w:after="0"/>
        <w:ind w:firstLine="283"/>
        <w:jc w:val="both"/>
        <w:rPr>
          <w:rStyle w:val="Heading20"/>
          <w:rFonts w:ascii="Verdana" w:eastAsia="Microsoft Sans Serif" w:hAnsi="Verdana"/>
          <w:smallCaps w:val="0"/>
          <w:sz w:val="20"/>
        </w:rPr>
      </w:pPr>
      <w:r>
        <w:rPr>
          <w:rStyle w:val="Heading20"/>
          <w:rFonts w:ascii="Verdana" w:eastAsia="Microsoft Sans Serif" w:hAnsi="Verdana"/>
          <w:sz w:val="20"/>
        </w:rPr>
        <w:t>III</w:t>
      </w:r>
    </w:p>
    <w:p w14:paraId="11D5AE8C" w14:textId="77777777" w:rsidR="002B6E70" w:rsidRPr="00CF7AB2" w:rsidRDefault="002B6E70" w:rsidP="004656A2">
      <w:pPr>
        <w:keepNext/>
        <w:suppressAutoHyphens/>
        <w:spacing w:after="0"/>
        <w:ind w:firstLine="283"/>
        <w:jc w:val="both"/>
        <w:rPr>
          <w:rFonts w:ascii="Verdana" w:hAnsi="Verdana"/>
          <w:sz w:val="20"/>
        </w:rPr>
      </w:pPr>
    </w:p>
    <w:p w14:paraId="4D95F006"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if we are a part of the natural world (as our cellular makeup suggests), if the animate is an aspect of the inanimate, then chance pertaining to a maker pertains to matter. Perhaps Webster’s “ability to create” is nothing more (or less) than matter’s attempts to articulate itself. Since a maker (and with him the whole human species) is an infinitesimal speck of matter, the latter’s attempts at articulation must be few and far between. Their infrequency is proportionate to the avail</w:t>
      </w:r>
      <w:r w:rsidRPr="00CF7AB2">
        <w:rPr>
          <w:rStyle w:val="BodyTextChar"/>
          <w:rFonts w:ascii="Verdana" w:hAnsi="Verdana"/>
          <w:sz w:val="20"/>
        </w:rPr>
        <w:softHyphen/>
        <w:t>ability of adequate mouthpieces, whose adequacy, i.e., the readiness to perceive an unhuman truth, is known in our parlance as genius. This infrequency is thus the mother of chance.</w:t>
      </w:r>
    </w:p>
    <w:p w14:paraId="0C25F4BE"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matter, I believe, comes to articulate itself through human science or human art presumably only under some kind of duress. This may sound like an anthropo</w:t>
      </w:r>
      <w:r w:rsidRPr="00CF7AB2">
        <w:rPr>
          <w:rStyle w:val="BodyTextChar"/>
          <w:rFonts w:ascii="Verdana" w:hAnsi="Verdana"/>
          <w:sz w:val="20"/>
        </w:rPr>
        <w:softHyphen/>
        <w:t>morphic fantasy, but our cellular makeup entitles us to this sort of indulgence. Matter’s fatigue, its thinning out, or its oversaturation with time are, among a host of other less and more fathomable processes, what further enunciates chance and what is registered by the lab’s instruments or by the no less sensitive pen of the lyric poet. In either case, what you get is the ripple effect.</w:t>
      </w:r>
    </w:p>
    <w:p w14:paraId="272AD958"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this sense, the ability to make is a passive ability: a grain of sand’s response to the horizon. For it is the sense of an opened horizon that impresses us in a work of art or a scientific breakthrough, isn’t it? Anything less than that qual</w:t>
      </w:r>
      <w:r w:rsidRPr="00CF7AB2">
        <w:rPr>
          <w:rStyle w:val="BodyTextChar"/>
          <w:rFonts w:ascii="Verdana" w:hAnsi="Verdana"/>
          <w:sz w:val="20"/>
        </w:rPr>
        <w:softHyphen/>
        <w:t>ifies not for the unique but for the familiar. The ability to make, in other words, depends on the horizon and not on one’s resolve, ambition, or training. To analyze this ability only from our end of the story is therefore erroneous and not terribly rewarding.</w:t>
      </w:r>
    </w:p>
    <w:p w14:paraId="31E0C0EA"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“Creativity” is what a vast beach remarks when a grain</w:t>
      </w:r>
      <w:r>
        <w:rPr>
          <w:rStyle w:val="BodyTextChar"/>
          <w:rFonts w:ascii="Verdana" w:hAnsi="Verdana"/>
          <w:sz w:val="20"/>
        </w:rPr>
        <w:t xml:space="preserve"> </w:t>
      </w:r>
      <w:r w:rsidRPr="00CF7AB2">
        <w:rPr>
          <w:rStyle w:val="BodyTextChar"/>
          <w:rFonts w:ascii="Verdana" w:hAnsi="Verdana"/>
          <w:sz w:val="20"/>
        </w:rPr>
        <w:t>of sand is swept away by the ocean. If this sounds too tragic or too grand for you, it means only that you are too far back in the dunes. An artist’s or a scientist’s notion of luck or chance reflects essentially his proximity to the water or, if you will, to matter.</w:t>
      </w:r>
    </w:p>
    <w:p w14:paraId="1655907A"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can increase one’s proximity to it in principle by will; in reality, though, it happens nearly always inadver</w:t>
      </w:r>
      <w:r w:rsidRPr="00CF7AB2">
        <w:rPr>
          <w:rStyle w:val="BodyTextChar"/>
          <w:rFonts w:ascii="Verdana" w:hAnsi="Verdana"/>
          <w:sz w:val="20"/>
        </w:rPr>
        <w:softHyphen/>
        <w:t>tently. No amount of research or of caffeine, calories, alcohol, or tobacco consumed can position that grain of sand suffi</w:t>
      </w:r>
      <w:r w:rsidRPr="00CF7AB2">
        <w:rPr>
          <w:rStyle w:val="BodyTextChar"/>
          <w:rFonts w:ascii="Verdana" w:hAnsi="Verdana"/>
          <w:sz w:val="20"/>
        </w:rPr>
        <w:softHyphen/>
        <w:t>ciently close to the breakers. It all depends on the breakers themselves, i.e., on matter’s own timing, which is solely responsible for the erosion of its so-called beach. Hence all this loose talk about divine intervention, breakthroughs, and so forth. Whose breakthrough?</w:t>
      </w:r>
    </w:p>
    <w:p w14:paraId="6B944606" w14:textId="77777777" w:rsidR="002B6E70" w:rsidRPr="00CF7AB2" w:rsidRDefault="002B6E70" w:rsidP="004656A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poetry fares somewhat better in this context, it is because language is, in a manner of speaking, the inanimate’s first line of information about itself released to the animate. To put it perhaps less polemically, language is a diluted aspect of matter. By manipulating it into a harmony or, for that matter, disharmony, a poet—by and large unwittingly —negotiates himself into the domain of pure matter—or, if you will, of pure time—faster than can be done in any other line of work. A poem—and above all a poem with a recurrent stanzaic design—almost inevitably develops a centrifugal force whose ever-widening radius lands the poet far beyond his initial destination.</w:t>
      </w:r>
    </w:p>
    <w:p w14:paraId="062AD639" w14:textId="324F4CBE" w:rsidR="004A6A81" w:rsidRDefault="002B6E70" w:rsidP="0081396F">
      <w:pPr>
        <w:spacing w:after="0" w:line="240" w:lineRule="auto"/>
        <w:ind w:firstLine="284"/>
      </w:pPr>
      <w:r w:rsidRPr="00CF7AB2">
        <w:rPr>
          <w:rStyle w:val="BodyTextChar"/>
          <w:rFonts w:ascii="Verdana" w:hAnsi="Verdana"/>
          <w:sz w:val="20"/>
        </w:rPr>
        <w:t xml:space="preserve">It is precisely the unpredictability of the place of one’s arrival, as well perhaps as one’s eventual gratitude, that makes a poet regard his ability “to make” as a passive ability. The vastness of what lies ahead rules out the possibility of any other attitude </w:t>
      </w:r>
      <w:r w:rsidRPr="00CF7AB2">
        <w:rPr>
          <w:rStyle w:val="BodyTextChar"/>
          <w:rFonts w:ascii="Verdana" w:hAnsi="Verdana"/>
          <w:sz w:val="20"/>
        </w:rPr>
        <w:lastRenderedPageBreak/>
        <w:t>toward one’s regular or irregular proce</w:t>
      </w:r>
      <w:r w:rsidRPr="00CF7AB2">
        <w:rPr>
          <w:rStyle w:val="BodyTextChar"/>
          <w:rFonts w:ascii="Verdana" w:hAnsi="Verdana"/>
          <w:sz w:val="20"/>
        </w:rPr>
        <w:softHyphen/>
        <w:t xml:space="preserve">dure; it certainly rules out the notion of creativity. There is no creativity </w:t>
      </w:r>
      <w:r w:rsidRPr="00CF7AB2">
        <w:rPr>
          <w:rStyle w:val="BodyTextChar"/>
          <w:rFonts w:ascii="Verdana" w:hAnsi="Verdana"/>
          <w:sz w:val="20"/>
          <w:lang w:eastAsia="fr-FR" w:bidi="fr-FR"/>
        </w:rPr>
        <w:t xml:space="preserve">vis-à-vis </w:t>
      </w:r>
      <w:r w:rsidRPr="00CF7AB2">
        <w:rPr>
          <w:rStyle w:val="BodyTextChar"/>
          <w:rFonts w:ascii="Verdana" w:hAnsi="Verdana"/>
          <w:sz w:val="20"/>
        </w:rPr>
        <w:t>that which instills terror.</w:t>
      </w:r>
    </w:p>
    <w:sectPr w:rsidR="004A6A81" w:rsidSect="009E0E4B">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7015" w14:textId="77777777" w:rsidR="008F133F" w:rsidRDefault="008F133F" w:rsidP="004656A2">
      <w:pPr>
        <w:spacing w:after="0" w:line="240" w:lineRule="auto"/>
      </w:pPr>
      <w:r>
        <w:separator/>
      </w:r>
    </w:p>
  </w:endnote>
  <w:endnote w:type="continuationSeparator" w:id="0">
    <w:p w14:paraId="690151AA" w14:textId="77777777" w:rsidR="008F133F" w:rsidRDefault="008F133F" w:rsidP="00465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80F4" w14:textId="77777777" w:rsidR="004656A2" w:rsidRDefault="00465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837E5" w14:textId="33F47084" w:rsidR="004656A2" w:rsidRPr="009E0E4B" w:rsidRDefault="009E0E4B">
    <w:pPr>
      <w:pStyle w:val="Footer"/>
      <w:rPr>
        <w:rFonts w:ascii="Arial" w:hAnsi="Arial" w:cs="Arial"/>
        <w:color w:val="999999"/>
        <w:sz w:val="20"/>
        <w:lang w:val="ru-RU"/>
      </w:rPr>
    </w:pPr>
    <w:r w:rsidRPr="009E0E4B">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9380" w14:textId="77777777" w:rsidR="004656A2" w:rsidRDefault="00465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4118F" w14:textId="77777777" w:rsidR="008F133F" w:rsidRDefault="008F133F" w:rsidP="004656A2">
      <w:pPr>
        <w:spacing w:after="0" w:line="240" w:lineRule="auto"/>
      </w:pPr>
      <w:r>
        <w:separator/>
      </w:r>
    </w:p>
  </w:footnote>
  <w:footnote w:type="continuationSeparator" w:id="0">
    <w:p w14:paraId="26D9D036" w14:textId="77777777" w:rsidR="008F133F" w:rsidRDefault="008F133F" w:rsidP="004656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3A0" w14:textId="77777777" w:rsidR="004656A2" w:rsidRDefault="00465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AED4" w14:textId="26A49BC2" w:rsidR="004656A2" w:rsidRPr="009E0E4B" w:rsidRDefault="009E0E4B">
    <w:pPr>
      <w:pStyle w:val="Header"/>
      <w:rPr>
        <w:rFonts w:ascii="Arial" w:hAnsi="Arial" w:cs="Arial"/>
        <w:color w:val="999999"/>
        <w:sz w:val="20"/>
        <w:lang w:val="ru-RU"/>
      </w:rPr>
    </w:pPr>
    <w:r w:rsidRPr="009E0E4B">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73422" w14:textId="77777777" w:rsidR="004656A2" w:rsidRDefault="00465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B6E70"/>
    <w:rsid w:val="00326F90"/>
    <w:rsid w:val="0038102E"/>
    <w:rsid w:val="004656A2"/>
    <w:rsid w:val="004A6A81"/>
    <w:rsid w:val="0081396F"/>
    <w:rsid w:val="008F133F"/>
    <w:rsid w:val="009675AC"/>
    <w:rsid w:val="009E0E4B"/>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4983A6"/>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2B6E70"/>
    <w:rPr>
      <w:rFonts w:ascii="Times New Roman" w:eastAsia="Times New Roman" w:hAnsi="Times New Roman" w:cs="Times New Roman"/>
      <w:i/>
      <w:iCs/>
      <w:sz w:val="40"/>
      <w:szCs w:val="40"/>
    </w:rPr>
  </w:style>
  <w:style w:type="character" w:customStyle="1" w:styleId="Heading20">
    <w:name w:val="Heading #2_"/>
    <w:basedOn w:val="DefaultParagraphFont"/>
    <w:link w:val="Heading21"/>
    <w:rsid w:val="002B6E70"/>
    <w:rPr>
      <w:rFonts w:ascii="Times New Roman" w:eastAsia="Times New Roman" w:hAnsi="Times New Roman" w:cs="Times New Roman"/>
      <w:smallCaps/>
    </w:rPr>
  </w:style>
  <w:style w:type="paragraph" w:customStyle="1" w:styleId="Heading11">
    <w:name w:val="Heading #1"/>
    <w:basedOn w:val="Normal"/>
    <w:link w:val="Heading10"/>
    <w:rsid w:val="002B6E70"/>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Heading21">
    <w:name w:val="Heading #2"/>
    <w:basedOn w:val="Normal"/>
    <w:link w:val="Heading20"/>
    <w:rsid w:val="002B6E70"/>
    <w:pPr>
      <w:widowControl w:val="0"/>
      <w:spacing w:after="300" w:line="240" w:lineRule="auto"/>
      <w:jc w:val="center"/>
      <w:outlineLvl w:val="1"/>
    </w:pPr>
    <w:rPr>
      <w:rFonts w:ascii="Times New Roman" w:eastAsia="Times New Roman" w:hAnsi="Times New Roman" w:cs="Times New Roman"/>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009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3987</Words>
  <Characters>19421</Characters>
  <Application>Microsoft Office Word</Application>
  <DocSecurity>0</DocSecurity>
  <Lines>318</Lines>
  <Paragraphs>73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23335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Cat’s Meow</dc:title>
  <dc:subject/>
  <dc:creator>Joseph Brodsky</dc:creator>
  <cp:keywords/>
  <dc:description/>
  <cp:lastModifiedBy>Andrey Piskunov</cp:lastModifiedBy>
  <cp:revision>8</cp:revision>
  <dcterms:created xsi:type="dcterms:W3CDTF">2013-12-23T23:15:00Z</dcterms:created>
  <dcterms:modified xsi:type="dcterms:W3CDTF">2026-06-30T03:29:00Z</dcterms:modified>
  <cp:category/>
</cp:coreProperties>
</file>